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6DDCD841" w:rsidR="002C1220" w:rsidRPr="00B1229E" w:rsidRDefault="005F10C3" w:rsidP="002C1220">
      <w:pPr>
        <w:pStyle w:val="Header"/>
        <w:tabs>
          <w:tab w:val="right" w:pos="9639"/>
        </w:tabs>
        <w:jc w:val="both"/>
        <w:rPr>
          <w:rFonts w:cs="Arial"/>
          <w:bCs/>
          <w:i/>
          <w:noProof w:val="0"/>
          <w:sz w:val="24"/>
          <w:szCs w:val="24"/>
        </w:rPr>
      </w:pPr>
      <w:bookmarkStart w:id="0" w:name="_Hlk519580081"/>
      <w:r w:rsidRPr="00B1229E">
        <w:rPr>
          <w:rFonts w:cs="Arial"/>
          <w:bCs/>
          <w:noProof w:val="0"/>
          <w:sz w:val="24"/>
          <w:szCs w:val="24"/>
        </w:rPr>
        <w:t>3GPP TSG-RAN WG3 Meeting #1</w:t>
      </w:r>
      <w:r w:rsidR="006A213B" w:rsidRPr="00B1229E">
        <w:rPr>
          <w:rFonts w:cs="Arial"/>
          <w:bCs/>
          <w:noProof w:val="0"/>
          <w:sz w:val="24"/>
          <w:szCs w:val="24"/>
        </w:rPr>
        <w:t>1</w:t>
      </w:r>
      <w:r w:rsidR="00A619DB" w:rsidRPr="00B1229E">
        <w:rPr>
          <w:rFonts w:cs="Arial"/>
          <w:bCs/>
          <w:noProof w:val="0"/>
          <w:sz w:val="24"/>
          <w:szCs w:val="24"/>
        </w:rPr>
        <w:t>2</w:t>
      </w:r>
      <w:r w:rsidR="00044AC7" w:rsidRPr="00B1229E">
        <w:rPr>
          <w:rFonts w:cs="Arial"/>
          <w:bCs/>
          <w:noProof w:val="0"/>
          <w:sz w:val="24"/>
          <w:szCs w:val="24"/>
        </w:rPr>
        <w:t>-e</w:t>
      </w:r>
      <w:r w:rsidR="002C1220" w:rsidRPr="00B1229E">
        <w:rPr>
          <w:rFonts w:cs="Arial"/>
          <w:bCs/>
          <w:noProof w:val="0"/>
          <w:sz w:val="24"/>
          <w:szCs w:val="24"/>
        </w:rPr>
        <w:tab/>
        <w:t>R3-</w:t>
      </w:r>
      <w:r w:rsidR="00FA4A45" w:rsidRPr="00B1229E">
        <w:rPr>
          <w:rFonts w:cs="Arial"/>
          <w:bCs/>
          <w:noProof w:val="0"/>
          <w:sz w:val="24"/>
          <w:szCs w:val="24"/>
        </w:rPr>
        <w:t>2</w:t>
      </w:r>
      <w:r w:rsidR="00C25D98" w:rsidRPr="00B1229E">
        <w:rPr>
          <w:rFonts w:cs="Arial"/>
          <w:bCs/>
          <w:noProof w:val="0"/>
          <w:sz w:val="24"/>
          <w:szCs w:val="24"/>
        </w:rPr>
        <w:t>1</w:t>
      </w:r>
      <w:r w:rsidR="00260741">
        <w:rPr>
          <w:rFonts w:cs="Arial"/>
          <w:bCs/>
          <w:noProof w:val="0"/>
          <w:sz w:val="24"/>
          <w:szCs w:val="24"/>
        </w:rPr>
        <w:t>1566</w:t>
      </w:r>
    </w:p>
    <w:bookmarkEnd w:id="0"/>
    <w:p w14:paraId="5669B020" w14:textId="08036B3A" w:rsidR="004C654E" w:rsidRPr="00B1229E" w:rsidRDefault="00044AC7" w:rsidP="004C654E">
      <w:pPr>
        <w:pStyle w:val="Header"/>
        <w:tabs>
          <w:tab w:val="left" w:pos="2410"/>
        </w:tabs>
        <w:rPr>
          <w:rFonts w:eastAsia="MS Mincho" w:cs="Arial"/>
          <w:sz w:val="24"/>
          <w:szCs w:val="24"/>
        </w:rPr>
      </w:pPr>
      <w:r w:rsidRPr="00B1229E">
        <w:rPr>
          <w:rFonts w:eastAsia="MS Mincho" w:cs="Arial"/>
          <w:sz w:val="24"/>
          <w:szCs w:val="24"/>
        </w:rPr>
        <w:t>E-meeting</w:t>
      </w:r>
      <w:r w:rsidR="00FC5FE8" w:rsidRPr="00B1229E">
        <w:rPr>
          <w:rFonts w:eastAsia="MS Mincho" w:cs="Arial"/>
          <w:sz w:val="24"/>
          <w:szCs w:val="24"/>
        </w:rPr>
        <w:t xml:space="preserve">, </w:t>
      </w:r>
      <w:r w:rsidR="00A619DB" w:rsidRPr="00B1229E">
        <w:rPr>
          <w:rFonts w:eastAsia="MS Mincho" w:cs="Arial"/>
          <w:sz w:val="24"/>
          <w:szCs w:val="24"/>
        </w:rPr>
        <w:t>17</w:t>
      </w:r>
      <w:r w:rsidR="00C25D98" w:rsidRPr="00B1229E">
        <w:rPr>
          <w:rFonts w:eastAsia="MS Mincho" w:cs="Arial"/>
          <w:sz w:val="24"/>
          <w:szCs w:val="24"/>
        </w:rPr>
        <w:t xml:space="preserve"> – </w:t>
      </w:r>
      <w:r w:rsidR="00A619DB" w:rsidRPr="00B1229E">
        <w:rPr>
          <w:rFonts w:eastAsia="MS Mincho" w:cs="Arial"/>
          <w:sz w:val="24"/>
          <w:szCs w:val="24"/>
        </w:rPr>
        <w:t>28</w:t>
      </w:r>
      <w:r w:rsidR="00C25D98" w:rsidRPr="00B1229E">
        <w:rPr>
          <w:rFonts w:eastAsia="MS Mincho" w:cs="Arial"/>
          <w:sz w:val="24"/>
          <w:szCs w:val="24"/>
        </w:rPr>
        <w:t xml:space="preserve"> </w:t>
      </w:r>
      <w:r w:rsidR="00A619DB" w:rsidRPr="00B1229E">
        <w:rPr>
          <w:rFonts w:eastAsia="MS Mincho" w:cs="Arial"/>
          <w:sz w:val="24"/>
          <w:szCs w:val="24"/>
        </w:rPr>
        <w:t>May</w:t>
      </w:r>
      <w:r w:rsidR="00FC5FE8" w:rsidRPr="00B1229E">
        <w:rPr>
          <w:rFonts w:eastAsia="MS Mincho" w:cs="Arial"/>
          <w:sz w:val="24"/>
          <w:szCs w:val="24"/>
        </w:rPr>
        <w:t xml:space="preserve"> </w:t>
      </w:r>
      <w:r w:rsidR="005F10C3" w:rsidRPr="00B1229E">
        <w:rPr>
          <w:rFonts w:eastAsia="MS Mincho" w:cs="Arial"/>
          <w:sz w:val="24"/>
          <w:szCs w:val="24"/>
        </w:rPr>
        <w:t>20</w:t>
      </w:r>
      <w:r w:rsidR="00FA4A45" w:rsidRPr="00B1229E">
        <w:rPr>
          <w:rFonts w:eastAsia="MS Mincho" w:cs="Arial"/>
          <w:sz w:val="24"/>
          <w:szCs w:val="24"/>
        </w:rPr>
        <w:t>2</w:t>
      </w:r>
      <w:r w:rsidR="00C25D98" w:rsidRPr="00B1229E">
        <w:rPr>
          <w:rFonts w:eastAsia="MS Mincho" w:cs="Arial"/>
          <w:sz w:val="24"/>
          <w:szCs w:val="24"/>
        </w:rPr>
        <w:t>1</w:t>
      </w:r>
    </w:p>
    <w:p w14:paraId="2F96B0BD" w14:textId="77777777" w:rsidR="002F2360" w:rsidRPr="00B1229E" w:rsidRDefault="002F2360" w:rsidP="002F2360">
      <w:pPr>
        <w:pStyle w:val="Header"/>
        <w:tabs>
          <w:tab w:val="left" w:pos="2410"/>
        </w:tabs>
        <w:rPr>
          <w:bCs/>
          <w:noProof w:val="0"/>
          <w:sz w:val="24"/>
        </w:rPr>
      </w:pPr>
    </w:p>
    <w:p w14:paraId="430718D4" w14:textId="6655CA88" w:rsidR="002F2360" w:rsidRPr="00B1229E" w:rsidRDefault="002F2360" w:rsidP="002F2360">
      <w:pPr>
        <w:pStyle w:val="CRCoverPage"/>
        <w:tabs>
          <w:tab w:val="left" w:pos="1985"/>
          <w:tab w:val="left" w:pos="2410"/>
        </w:tabs>
        <w:rPr>
          <w:rFonts w:cs="Arial"/>
          <w:b/>
          <w:bCs/>
          <w:sz w:val="24"/>
          <w:lang w:eastAsia="ja-JP"/>
        </w:rPr>
      </w:pPr>
      <w:r w:rsidRPr="00B1229E">
        <w:rPr>
          <w:rFonts w:cs="Arial"/>
          <w:b/>
          <w:bCs/>
          <w:sz w:val="24"/>
        </w:rPr>
        <w:t>Agenda item:</w:t>
      </w:r>
      <w:r w:rsidRPr="00B1229E">
        <w:rPr>
          <w:rFonts w:cs="Arial"/>
          <w:b/>
          <w:bCs/>
          <w:sz w:val="24"/>
        </w:rPr>
        <w:tab/>
      </w:r>
      <w:r w:rsidR="000E79F2" w:rsidRPr="00B1229E">
        <w:rPr>
          <w:rFonts w:cs="Arial"/>
          <w:b/>
          <w:bCs/>
          <w:sz w:val="24"/>
        </w:rPr>
        <w:t>14.3</w:t>
      </w:r>
    </w:p>
    <w:p w14:paraId="02505283" w14:textId="77777777" w:rsidR="002F2360" w:rsidRPr="00B1229E" w:rsidRDefault="002F2360" w:rsidP="002F2360">
      <w:pPr>
        <w:tabs>
          <w:tab w:val="left" w:pos="1985"/>
          <w:tab w:val="left" w:pos="2410"/>
        </w:tabs>
        <w:ind w:left="1985" w:hanging="1985"/>
        <w:rPr>
          <w:rFonts w:ascii="Arial" w:hAnsi="Arial" w:cs="Arial"/>
          <w:b/>
          <w:bCs/>
          <w:sz w:val="24"/>
        </w:rPr>
      </w:pPr>
      <w:r w:rsidRPr="00B1229E">
        <w:rPr>
          <w:rFonts w:ascii="Arial" w:hAnsi="Arial" w:cs="Arial"/>
          <w:b/>
          <w:bCs/>
          <w:sz w:val="24"/>
        </w:rPr>
        <w:t>Source:</w:t>
      </w:r>
      <w:r w:rsidRPr="00B1229E">
        <w:rPr>
          <w:rFonts w:ascii="Arial" w:hAnsi="Arial" w:cs="Arial"/>
          <w:b/>
          <w:bCs/>
          <w:sz w:val="24"/>
        </w:rPr>
        <w:tab/>
        <w:t xml:space="preserve">Nokia, </w:t>
      </w:r>
      <w:r w:rsidRPr="00B1229E">
        <w:rPr>
          <w:rFonts w:ascii="Arial" w:hAnsi="Arial" w:cs="Arial"/>
          <w:b/>
          <w:bCs/>
          <w:sz w:val="24"/>
          <w:lang w:eastAsia="ja-JP"/>
        </w:rPr>
        <w:t xml:space="preserve">Nokia </w:t>
      </w:r>
      <w:r w:rsidRPr="00B1229E">
        <w:rPr>
          <w:rFonts w:ascii="Arial" w:hAnsi="Arial" w:cs="Arial"/>
          <w:b/>
          <w:bCs/>
          <w:sz w:val="24"/>
        </w:rPr>
        <w:t>Shanghai Bell</w:t>
      </w:r>
    </w:p>
    <w:p w14:paraId="5E7A28BB" w14:textId="4261FB12" w:rsidR="00CD4C7B" w:rsidRPr="00B1229E" w:rsidRDefault="00CD4C7B" w:rsidP="00EE13A8">
      <w:pPr>
        <w:tabs>
          <w:tab w:val="left" w:pos="2410"/>
        </w:tabs>
        <w:ind w:left="1985" w:hanging="1985"/>
        <w:rPr>
          <w:rFonts w:ascii="Arial" w:hAnsi="Arial" w:cs="Arial"/>
          <w:b/>
          <w:bCs/>
          <w:sz w:val="24"/>
        </w:rPr>
      </w:pPr>
      <w:r w:rsidRPr="00B1229E">
        <w:rPr>
          <w:rFonts w:ascii="Arial" w:hAnsi="Arial" w:cs="Arial"/>
          <w:b/>
          <w:bCs/>
          <w:sz w:val="24"/>
        </w:rPr>
        <w:t>Title:</w:t>
      </w:r>
      <w:r w:rsidRPr="00B1229E">
        <w:rPr>
          <w:rFonts w:ascii="Arial" w:hAnsi="Arial" w:cs="Arial"/>
          <w:b/>
          <w:bCs/>
          <w:sz w:val="24"/>
        </w:rPr>
        <w:tab/>
      </w:r>
      <w:r w:rsidR="00A619DB" w:rsidRPr="00B1229E">
        <w:rPr>
          <w:rFonts w:ascii="Arial" w:hAnsi="Arial" w:cs="Arial"/>
          <w:b/>
          <w:bCs/>
          <w:sz w:val="24"/>
        </w:rPr>
        <w:t>F</w:t>
      </w:r>
      <w:r w:rsidR="00A2448E" w:rsidRPr="00B1229E">
        <w:rPr>
          <w:rFonts w:ascii="Arial" w:hAnsi="Arial" w:cs="Arial"/>
          <w:b/>
          <w:bCs/>
          <w:sz w:val="24"/>
        </w:rPr>
        <w:t>urther details of the inter-SN CPC</w:t>
      </w:r>
    </w:p>
    <w:p w14:paraId="0F79702C" w14:textId="0AE6489D" w:rsidR="00CD4C7B" w:rsidRPr="00B1229E" w:rsidRDefault="00CD4C7B" w:rsidP="00EE13A8">
      <w:pPr>
        <w:tabs>
          <w:tab w:val="left" w:pos="1985"/>
          <w:tab w:val="left" w:pos="2410"/>
        </w:tabs>
        <w:rPr>
          <w:rFonts w:ascii="Arial" w:hAnsi="Arial" w:cs="Arial"/>
          <w:b/>
          <w:bCs/>
          <w:sz w:val="24"/>
        </w:rPr>
      </w:pPr>
      <w:r w:rsidRPr="00B1229E">
        <w:rPr>
          <w:rFonts w:ascii="Arial" w:hAnsi="Arial" w:cs="Arial"/>
          <w:b/>
          <w:bCs/>
          <w:sz w:val="24"/>
        </w:rPr>
        <w:t>Document for:</w:t>
      </w:r>
      <w:r w:rsidRPr="00B1229E">
        <w:rPr>
          <w:rFonts w:ascii="Arial" w:hAnsi="Arial" w:cs="Arial"/>
          <w:b/>
          <w:bCs/>
          <w:sz w:val="24"/>
        </w:rPr>
        <w:tab/>
        <w:t>Discussion</w:t>
      </w:r>
    </w:p>
    <w:p w14:paraId="3F7C60B7" w14:textId="77777777" w:rsidR="00AB30AE" w:rsidRPr="00B1229E" w:rsidRDefault="00AB30AE" w:rsidP="00EE13A8">
      <w:pPr>
        <w:tabs>
          <w:tab w:val="left" w:pos="1985"/>
          <w:tab w:val="left" w:pos="2410"/>
        </w:tabs>
        <w:rPr>
          <w:rFonts w:ascii="Arial" w:hAnsi="Arial" w:cs="Arial"/>
          <w:bCs/>
          <w:sz w:val="24"/>
        </w:rPr>
      </w:pPr>
    </w:p>
    <w:p w14:paraId="40D0F11F" w14:textId="3CF2C848" w:rsidR="00CD4C7B" w:rsidRPr="00B1229E" w:rsidRDefault="00CD4C7B" w:rsidP="00EE13A8">
      <w:pPr>
        <w:pStyle w:val="Heading1"/>
        <w:tabs>
          <w:tab w:val="left" w:pos="2410"/>
        </w:tabs>
      </w:pPr>
      <w:r w:rsidRPr="00B1229E">
        <w:t>1</w:t>
      </w:r>
      <w:r w:rsidRPr="00B1229E">
        <w:tab/>
      </w:r>
      <w:r w:rsidR="0056573F" w:rsidRPr="00B1229E">
        <w:t>Introduction</w:t>
      </w:r>
    </w:p>
    <w:p w14:paraId="4CAD8B08" w14:textId="28FA449A" w:rsidR="005E3D0F" w:rsidRPr="00B1229E" w:rsidRDefault="00BA3B48" w:rsidP="008572DC">
      <w:bookmarkStart w:id="1" w:name="_Toc474247438"/>
      <w:r w:rsidRPr="00B1229E">
        <w:t>At RAN3 #111, the work on the inter-SN conditional PSCell change was started</w:t>
      </w:r>
      <w:r w:rsidR="00AD4FD5" w:rsidRPr="00B1229E">
        <w:t xml:space="preserve"> and continued at RAN3</w:t>
      </w:r>
      <w:r w:rsidR="00A619DB" w:rsidRPr="00B1229E">
        <w:t xml:space="preserve"> #112</w:t>
      </w:r>
      <w:r w:rsidRPr="00B1229E">
        <w:t xml:space="preserve">. </w:t>
      </w:r>
      <w:r w:rsidR="00A619DB" w:rsidRPr="00B1229E">
        <w:t>In parallel, the discussion continued in RAN2. So far, RAN3 made following assumptions</w:t>
      </w:r>
      <w:r w:rsidRPr="00B1229E">
        <w:t>:</w:t>
      </w:r>
    </w:p>
    <w:p w14:paraId="04069550" w14:textId="0A0CC4CD" w:rsidR="004C189B" w:rsidRPr="00B1229E" w:rsidRDefault="00A619DB" w:rsidP="007868FC">
      <w:pPr>
        <w:pStyle w:val="ListParagraph"/>
        <w:numPr>
          <w:ilvl w:val="0"/>
          <w:numId w:val="38"/>
        </w:numPr>
        <w:rPr>
          <w:lang w:val="en-GB"/>
        </w:rPr>
      </w:pPr>
      <w:r w:rsidRPr="00B1229E">
        <w:rPr>
          <w:lang w:val="en-GB"/>
        </w:rPr>
        <w:t>Multiple PSCells may be prepared in a single Addition Preparation procedure</w:t>
      </w:r>
      <w:r w:rsidR="00206AEB" w:rsidRPr="00B1229E">
        <w:rPr>
          <w:lang w:val="en-GB"/>
        </w:rPr>
        <w:t xml:space="preserve"> and in one SN Change procedure</w:t>
      </w:r>
      <w:r w:rsidRPr="00B1229E">
        <w:rPr>
          <w:lang w:val="en-GB"/>
        </w:rPr>
        <w:t>;</w:t>
      </w:r>
    </w:p>
    <w:p w14:paraId="688843DC" w14:textId="5F0412D5" w:rsidR="00A619DB" w:rsidRPr="00B1229E" w:rsidRDefault="00A619DB" w:rsidP="007868FC">
      <w:pPr>
        <w:pStyle w:val="ListParagraph"/>
        <w:numPr>
          <w:ilvl w:val="0"/>
          <w:numId w:val="38"/>
        </w:numPr>
        <w:rPr>
          <w:lang w:val="en-GB"/>
        </w:rPr>
      </w:pPr>
      <w:r w:rsidRPr="00B1229E">
        <w:rPr>
          <w:lang w:val="en-GB"/>
        </w:rPr>
        <w:t>It is the initiating node to decide on the number of cells to be prepared for the UE;</w:t>
      </w:r>
    </w:p>
    <w:p w14:paraId="3A535669" w14:textId="38AC2E4A" w:rsidR="00A619DB" w:rsidRPr="00B1229E" w:rsidRDefault="001A6E48" w:rsidP="007868FC">
      <w:pPr>
        <w:pStyle w:val="ListParagraph"/>
        <w:numPr>
          <w:ilvl w:val="0"/>
          <w:numId w:val="38"/>
        </w:numPr>
        <w:rPr>
          <w:lang w:val="en-GB"/>
        </w:rPr>
      </w:pPr>
      <w:r w:rsidRPr="00B1229E">
        <w:rPr>
          <w:lang w:val="en-GB"/>
        </w:rPr>
        <w:t>Early data forwarding is supported.</w:t>
      </w:r>
    </w:p>
    <w:p w14:paraId="346F80D1" w14:textId="5E5A3B0A" w:rsidR="007868FC" w:rsidRPr="00B1229E" w:rsidRDefault="007868FC" w:rsidP="008572DC">
      <w:r w:rsidRPr="00B1229E">
        <w:t xml:space="preserve">In this paper, we propose </w:t>
      </w:r>
      <w:r w:rsidR="001A6E48" w:rsidRPr="00B1229E">
        <w:t>to address the data forwarding and the issue of the number of cells</w:t>
      </w:r>
      <w:r w:rsidRPr="00B1229E">
        <w:t>.</w:t>
      </w:r>
    </w:p>
    <w:p w14:paraId="309917E7" w14:textId="77777777" w:rsidR="00051152" w:rsidRPr="00B1229E" w:rsidRDefault="00BE5235" w:rsidP="00051152">
      <w:pPr>
        <w:pStyle w:val="Heading1"/>
        <w:tabs>
          <w:tab w:val="left" w:pos="2410"/>
        </w:tabs>
      </w:pPr>
      <w:r w:rsidRPr="00B1229E">
        <w:t>2</w:t>
      </w:r>
      <w:r w:rsidR="00051152" w:rsidRPr="00B1229E">
        <w:tab/>
      </w:r>
      <w:r w:rsidRPr="00B1229E">
        <w:t>Discussion</w:t>
      </w:r>
    </w:p>
    <w:bookmarkEnd w:id="1"/>
    <w:p w14:paraId="0D63C18A" w14:textId="7414F607" w:rsidR="001577BF" w:rsidRPr="00B1229E" w:rsidRDefault="00CD0EBA" w:rsidP="00CD0EBA">
      <w:pPr>
        <w:pStyle w:val="Heading2"/>
      </w:pPr>
      <w:r w:rsidRPr="00B1229E">
        <w:t>2.1</w:t>
      </w:r>
      <w:r w:rsidRPr="00B1229E">
        <w:tab/>
      </w:r>
      <w:r w:rsidR="003E007F">
        <w:t xml:space="preserve">On </w:t>
      </w:r>
      <w:r w:rsidR="00371CE4">
        <w:t>M</w:t>
      </w:r>
      <w:r w:rsidR="003E047D" w:rsidRPr="00B1229E">
        <w:t>ax</w:t>
      </w:r>
      <w:r w:rsidR="00371CE4">
        <w:t>imum</w:t>
      </w:r>
      <w:r w:rsidR="003E047D" w:rsidRPr="00B1229E">
        <w:t xml:space="preserve"> </w:t>
      </w:r>
      <w:r w:rsidR="00371CE4">
        <w:t>Number</w:t>
      </w:r>
      <w:r w:rsidR="003E047D" w:rsidRPr="00B1229E">
        <w:t xml:space="preserve"> of </w:t>
      </w:r>
      <w:r w:rsidR="00371CE4">
        <w:t>C</w:t>
      </w:r>
      <w:r w:rsidR="003E047D" w:rsidRPr="00B1229E">
        <w:t>ells</w:t>
      </w:r>
    </w:p>
    <w:p w14:paraId="2E8E4C8A" w14:textId="3677CBC9" w:rsidR="001A6E48" w:rsidRPr="00B1229E" w:rsidRDefault="003E047D" w:rsidP="001A6E48">
      <w:r w:rsidRPr="00B1229E">
        <w:t>According the RAN2’s CHO solution, there is an upper limit for the number of target cells in a conditional reconfiguration. It is unspecified what happens if the limit is exceeded, so the assumption is the network shall observe the limit.</w:t>
      </w:r>
    </w:p>
    <w:p w14:paraId="2CD1AB6C" w14:textId="008DED87" w:rsidR="003E047D" w:rsidRPr="00B1229E" w:rsidRDefault="003E047D" w:rsidP="001A6E48">
      <w:r w:rsidRPr="00B1229E">
        <w:t>For the CPAC, this has not been discussed yet, but it is only very likely a similar limit will be defined for the conditional SCG reconfiguration, too. It will therefore be RAN3’s responsibility to make sure the network does not exceed the limit for conditional SCG configuration.</w:t>
      </w:r>
    </w:p>
    <w:p w14:paraId="212A09CA" w14:textId="16E13562" w:rsidR="003E047D" w:rsidRPr="00B1229E" w:rsidRDefault="003E047D" w:rsidP="001A6E48">
      <w:pPr>
        <w:rPr>
          <w:b/>
          <w:bCs/>
        </w:rPr>
      </w:pPr>
      <w:r w:rsidRPr="00B1229E">
        <w:rPr>
          <w:b/>
          <w:bCs/>
        </w:rPr>
        <w:t xml:space="preserve">Observation 1-1: RAN3 is responsible to make sure the upper limit for the conditional SCG reconfiguration </w:t>
      </w:r>
      <w:r w:rsidR="00F97FAC" w:rsidRPr="00B1229E">
        <w:rPr>
          <w:b/>
          <w:bCs/>
        </w:rPr>
        <w:t>in the UE is not exceeded.</w:t>
      </w:r>
    </w:p>
    <w:p w14:paraId="58C9A127" w14:textId="4B9782EA" w:rsidR="00F97FAC" w:rsidRPr="00B1229E" w:rsidRDefault="00F97FAC" w:rsidP="001A6E48">
      <w:r w:rsidRPr="00B1229E">
        <w:t>According to the current assumption, the initiating node may prepare multiple target SNs. The selection of the target cells is up to the target SN. It is being still discussed in RAN2 whether the target SN would be limited by the list of possible candidates or could also prepare a target PSCell that is not suggested. However, the important point is, each of the target SNs is unaware if there are other target SNs and how many cells are being prepared there.</w:t>
      </w:r>
    </w:p>
    <w:p w14:paraId="0E862F91" w14:textId="04F15C54" w:rsidR="00F97FAC" w:rsidRPr="00B1229E" w:rsidRDefault="00F97FAC" w:rsidP="001A6E48">
      <w:pPr>
        <w:rPr>
          <w:b/>
          <w:bCs/>
        </w:rPr>
      </w:pPr>
      <w:r w:rsidRPr="00B1229E">
        <w:rPr>
          <w:b/>
          <w:bCs/>
        </w:rPr>
        <w:t>Observation 1-2: The initiating node may decide to prepare multiple target SNs. Each of the SNs is unaware of others and PSCells being parallelly prepared there.</w:t>
      </w:r>
    </w:p>
    <w:p w14:paraId="527E0DFE" w14:textId="6D5C0B6A" w:rsidR="00B1229E" w:rsidRPr="00B1229E" w:rsidRDefault="00B1229E" w:rsidP="00B1229E">
      <w:r w:rsidRPr="00B1229E">
        <w:t>At the last RAN3 meeting, it was acknowledged therefore that the initiating node shall indicate the number of cells to be prepared. However, it was unclear if the indication is a “suggestion” or a binding limit. The suggestion is understood to be information that the target SN is not bound to follow – it may prepare more cells than indicated.</w:t>
      </w:r>
    </w:p>
    <w:p w14:paraId="7F2EE168" w14:textId="300C03DB" w:rsidR="00B1229E" w:rsidRDefault="00B1229E" w:rsidP="00B1229E">
      <w:r w:rsidRPr="00B1229E">
        <w:t>In this case, if the MN reali</w:t>
      </w:r>
      <w:r>
        <w:t>s</w:t>
      </w:r>
      <w:r w:rsidRPr="00B1229E">
        <w:t xml:space="preserve">es </w:t>
      </w:r>
      <w:r>
        <w:t>the total sum of all the prepared target PSCells is greater than the limit defined for the UE, it will have to make the prioritisation. However, it does not know what was the reasoning</w:t>
      </w:r>
      <w:r w:rsidR="00D47A08">
        <w:t xml:space="preserve"> and logic</w:t>
      </w:r>
      <w:r>
        <w:t xml:space="preserve"> in the target SNs to select the cells. Therefore, it may remove possibly the best candidates.</w:t>
      </w:r>
    </w:p>
    <w:p w14:paraId="79220270" w14:textId="56A641C7" w:rsidR="00B1229E" w:rsidRPr="00B1229E" w:rsidRDefault="00B1229E" w:rsidP="00B1229E">
      <w:pPr>
        <w:rPr>
          <w:b/>
          <w:bCs/>
        </w:rPr>
      </w:pPr>
      <w:r w:rsidRPr="00B1229E">
        <w:rPr>
          <w:b/>
          <w:bCs/>
        </w:rPr>
        <w:t>Observation 1-3: If the MN is forced to eliminate some of the prepared PSCells, so that total sum is not greater than the hard limit in a UE for SCG reconfiguration, it may lead to removing the best candidates.</w:t>
      </w:r>
    </w:p>
    <w:p w14:paraId="43364E01" w14:textId="4E1C9254" w:rsidR="00B1229E" w:rsidRDefault="00B1229E" w:rsidP="00B1229E">
      <w:r>
        <w:lastRenderedPageBreak/>
        <w:t>Considering the above, it is clear the information provided from the source node shall be considered as an upper limit for each SN. RAN3 may, though, consider also mechanism allowing the SNs to indicate that more PSCells may be needed. The coordination must stay at the MN though.</w:t>
      </w:r>
    </w:p>
    <w:p w14:paraId="39267EA0" w14:textId="3544A98E" w:rsidR="00B1229E" w:rsidRPr="00B1229E" w:rsidRDefault="00B1229E" w:rsidP="00B1229E">
      <w:pPr>
        <w:rPr>
          <w:b/>
          <w:bCs/>
        </w:rPr>
      </w:pPr>
      <w:r w:rsidRPr="00B1229E">
        <w:rPr>
          <w:b/>
          <w:bCs/>
        </w:rPr>
        <w:t>Proposal 1: The decision concerning the number of cells to prepare that will be signalled from the initiating node shall be understood in each SN to be the upper limit for the number of PSCells to prepare. Mechanism to enable preparing more cells may be FFS.</w:t>
      </w:r>
    </w:p>
    <w:p w14:paraId="02C53231" w14:textId="5A724EC8" w:rsidR="00626FF2" w:rsidRPr="00B1229E" w:rsidRDefault="00626FF2" w:rsidP="00626FF2">
      <w:pPr>
        <w:pStyle w:val="Heading2"/>
      </w:pPr>
      <w:r w:rsidRPr="00B1229E">
        <w:t>2.</w:t>
      </w:r>
      <w:r w:rsidR="00FB29E1">
        <w:t>2</w:t>
      </w:r>
      <w:r w:rsidRPr="00B1229E">
        <w:tab/>
        <w:t>Data forwarding</w:t>
      </w:r>
    </w:p>
    <w:p w14:paraId="7254680A" w14:textId="234BDC95" w:rsidR="00701CE6" w:rsidRDefault="004D46EC" w:rsidP="0024549E">
      <w:r w:rsidRPr="00B1229E">
        <w:t xml:space="preserve">At the last RAN3 meeting, </w:t>
      </w:r>
      <w:r w:rsidR="0024549E">
        <w:t>it was confirmed the early forwarding is to be supported, but also a possibly new</w:t>
      </w:r>
      <w:r w:rsidRPr="00B1229E">
        <w:t xml:space="preserve"> variant of data forwarding </w:t>
      </w:r>
      <w:r w:rsidR="00AC27E5" w:rsidRPr="00B1229E">
        <w:t>w</w:t>
      </w:r>
      <w:r w:rsidR="00AC27E5">
        <w:t>as</w:t>
      </w:r>
      <w:r w:rsidR="00AC27E5" w:rsidRPr="00B1229E">
        <w:t xml:space="preserve"> </w:t>
      </w:r>
      <w:r w:rsidRPr="00B1229E">
        <w:t xml:space="preserve">considered: </w:t>
      </w:r>
      <w:r w:rsidR="0024549E">
        <w:t>on time data forwarding</w:t>
      </w:r>
      <w:r w:rsidRPr="00B1229E">
        <w:t xml:space="preserve">. </w:t>
      </w:r>
      <w:r w:rsidR="0024549E">
        <w:t>The latter option is based on the fact that i</w:t>
      </w:r>
      <w:r w:rsidR="00701CE6" w:rsidRPr="00B1229E">
        <w:t>n CP</w:t>
      </w:r>
      <w:r w:rsidR="00F422BE">
        <w:t>A</w:t>
      </w:r>
      <w:r w:rsidR="00701CE6" w:rsidRPr="00B1229E">
        <w:t xml:space="preserve">C, the UE keeps connectivity to the MN all the time. Therefore, the UE may inform the MN when it selects the target PSCell (yet before the access starts). This may resemble the concept of the “bye” message considered in the context of CHO. However, connectivity to the MN is stable, contrary to the radio link to the source node in CHO. </w:t>
      </w:r>
    </w:p>
    <w:p w14:paraId="305A031E" w14:textId="699AEDFA" w:rsidR="00EC608C" w:rsidRPr="00B1229E" w:rsidRDefault="00EC608C" w:rsidP="0024549E">
      <w:r>
        <w:t xml:space="preserve">Such signalling has already been agreed: RAN2 has already decided that the UE will send the </w:t>
      </w:r>
      <w:r w:rsidRPr="00EC608C">
        <w:rPr>
          <w:i/>
          <w:iCs/>
        </w:rPr>
        <w:t>RRCReconfigurationComplete</w:t>
      </w:r>
      <w:r>
        <w:t xml:space="preserve"> message once the execution criteria is met, i.e. when the UE applies the new configuration. </w:t>
      </w:r>
    </w:p>
    <w:p w14:paraId="3CDBBA82" w14:textId="3F71FFFC" w:rsidR="00701CE6" w:rsidRPr="00B1229E" w:rsidRDefault="00701CE6" w:rsidP="00626FF2">
      <w:pPr>
        <w:rPr>
          <w:b/>
          <w:bCs/>
        </w:rPr>
      </w:pPr>
      <w:r w:rsidRPr="00B1229E">
        <w:rPr>
          <w:b/>
          <w:bCs/>
        </w:rPr>
        <w:t xml:space="preserve">Observation </w:t>
      </w:r>
      <w:r w:rsidR="00FB29E1">
        <w:rPr>
          <w:b/>
          <w:bCs/>
        </w:rPr>
        <w:t>2</w:t>
      </w:r>
      <w:r w:rsidRPr="00B1229E">
        <w:rPr>
          <w:b/>
          <w:bCs/>
        </w:rPr>
        <w:t xml:space="preserve">-1: The UE </w:t>
      </w:r>
      <w:r w:rsidR="00EC608C">
        <w:rPr>
          <w:b/>
          <w:bCs/>
        </w:rPr>
        <w:t>will</w:t>
      </w:r>
      <w:r w:rsidRPr="00B1229E">
        <w:rPr>
          <w:b/>
          <w:bCs/>
        </w:rPr>
        <w:t xml:space="preserve"> inform the MN about the selection of the target PSCell</w:t>
      </w:r>
      <w:r w:rsidR="00EC608C">
        <w:rPr>
          <w:b/>
          <w:bCs/>
        </w:rPr>
        <w:t xml:space="preserve"> sooner than the node hosting the selected cell detects the access</w:t>
      </w:r>
      <w:r w:rsidRPr="00B1229E">
        <w:rPr>
          <w:b/>
          <w:bCs/>
        </w:rPr>
        <w:t>.</w:t>
      </w:r>
    </w:p>
    <w:p w14:paraId="41A5827E" w14:textId="3CDC22EA" w:rsidR="00701CE6" w:rsidRPr="00B1229E" w:rsidRDefault="00701CE6" w:rsidP="00626FF2">
      <w:r w:rsidRPr="00B1229E">
        <w:t>Once informed, the MN may forward the information to the source SN and thus trigger data forwarding. The data will start arriving right about the time when the UE completes the access. Thus, the problem of the early data forwarding and the late data forwarding will not materialize for CP</w:t>
      </w:r>
      <w:r w:rsidR="00777368">
        <w:t>A</w:t>
      </w:r>
      <w:r w:rsidRPr="00B1229E">
        <w:t>C.</w:t>
      </w:r>
    </w:p>
    <w:p w14:paraId="6F6B6BD0" w14:textId="2216D546" w:rsidR="00701CE6" w:rsidRPr="00B1229E" w:rsidRDefault="00701CE6" w:rsidP="00626FF2">
      <w:pPr>
        <w:rPr>
          <w:b/>
          <w:bCs/>
        </w:rPr>
      </w:pPr>
      <w:r w:rsidRPr="00B1229E">
        <w:rPr>
          <w:b/>
          <w:bCs/>
        </w:rPr>
        <w:t xml:space="preserve">Proposal </w:t>
      </w:r>
      <w:r w:rsidR="00FB29E1">
        <w:rPr>
          <w:b/>
          <w:bCs/>
        </w:rPr>
        <w:t>2</w:t>
      </w:r>
      <w:r w:rsidRPr="00B1229E">
        <w:rPr>
          <w:b/>
          <w:bCs/>
        </w:rPr>
        <w:t>: For CP</w:t>
      </w:r>
      <w:r w:rsidR="00287545">
        <w:rPr>
          <w:b/>
          <w:bCs/>
        </w:rPr>
        <w:t>A</w:t>
      </w:r>
      <w:r w:rsidRPr="00B1229E">
        <w:rPr>
          <w:b/>
          <w:bCs/>
        </w:rPr>
        <w:t>C, the on time data forwarding based on the information from the UE to the MN about selected target PSCell shall be implemented.</w:t>
      </w:r>
    </w:p>
    <w:p w14:paraId="1E7D48E8" w14:textId="66609CD4" w:rsidR="0024549E" w:rsidRPr="00B1229E" w:rsidRDefault="00922ABA" w:rsidP="0024549E">
      <w:r>
        <w:t xml:space="preserve">Obviously, for SN-initiated SN change procedure, the information that the UE </w:t>
      </w:r>
      <w:r w:rsidR="004A4E5D">
        <w:t xml:space="preserve">has </w:t>
      </w:r>
      <w:r>
        <w:t>selected the target PSCell must then be forwarded to the source SN, so that it can start data forwarding. For that, a separate XnAP message is needed.</w:t>
      </w:r>
    </w:p>
    <w:p w14:paraId="28E42E52" w14:textId="77777777" w:rsidR="000F16C4" w:rsidRPr="00B1229E" w:rsidRDefault="00CD2620" w:rsidP="00E00CEF">
      <w:pPr>
        <w:pStyle w:val="Heading1"/>
      </w:pPr>
      <w:r w:rsidRPr="00B1229E">
        <w:t>3</w:t>
      </w:r>
      <w:r w:rsidR="000F16C4" w:rsidRPr="00B1229E">
        <w:tab/>
      </w:r>
      <w:r w:rsidRPr="00B1229E">
        <w:t>Conclusions</w:t>
      </w:r>
    </w:p>
    <w:p w14:paraId="2C10ADBC" w14:textId="6AA7C0CD" w:rsidR="00A15228" w:rsidRPr="00B1229E" w:rsidRDefault="000E79F2" w:rsidP="006A43F7">
      <w:pPr>
        <w:jc w:val="both"/>
        <w:rPr>
          <w:bCs/>
        </w:rPr>
      </w:pPr>
      <w:r w:rsidRPr="00B1229E">
        <w:rPr>
          <w:bCs/>
        </w:rPr>
        <w:t>In this paper, we’ve reviewed several aspects of the new solution for inter-SN CPC</w:t>
      </w:r>
      <w:r w:rsidR="00054F5F">
        <w:rPr>
          <w:bCs/>
        </w:rPr>
        <w:t xml:space="preserve"> and discussed on-time data forwarding</w:t>
      </w:r>
      <w:r w:rsidRPr="00B1229E">
        <w:rPr>
          <w:bCs/>
        </w:rPr>
        <w:t>. We make following proposals:</w:t>
      </w:r>
    </w:p>
    <w:p w14:paraId="72632772" w14:textId="7E334D41" w:rsidR="00B34FA0" w:rsidRPr="00B34FA0" w:rsidRDefault="00B34FA0" w:rsidP="00B34FA0">
      <w:pPr>
        <w:pStyle w:val="ListParagraph"/>
        <w:numPr>
          <w:ilvl w:val="0"/>
          <w:numId w:val="40"/>
        </w:numPr>
      </w:pPr>
      <w:r w:rsidRPr="00B34FA0">
        <w:t>The decision concerning the number of cells to prepare that will be signalled from the initiating node shall be understood in each SN to be the upper limit for the number of PSCells to prepare. Mechanism to enable preparing more cells may be FFS.</w:t>
      </w:r>
    </w:p>
    <w:p w14:paraId="60ED4842" w14:textId="1127C189" w:rsidR="00B34FA0" w:rsidRPr="00B34FA0" w:rsidRDefault="00B34FA0" w:rsidP="00B34FA0">
      <w:pPr>
        <w:pStyle w:val="ListParagraph"/>
        <w:numPr>
          <w:ilvl w:val="0"/>
          <w:numId w:val="40"/>
        </w:numPr>
      </w:pPr>
      <w:r w:rsidRPr="00B34FA0">
        <w:t>For CPAC, the on time data forwarding based on the information from the UE to the MN about selected target PSCell shall be implemented.</w:t>
      </w:r>
    </w:p>
    <w:p w14:paraId="4FE992F0" w14:textId="27411EED" w:rsidR="000B3979" w:rsidRPr="00B1229E" w:rsidRDefault="000B3979" w:rsidP="000B3979">
      <w:pPr>
        <w:jc w:val="both"/>
        <w:rPr>
          <w:bCs/>
        </w:rPr>
      </w:pPr>
      <w:r w:rsidRPr="00B1229E">
        <w:rPr>
          <w:bCs/>
        </w:rPr>
        <w:t xml:space="preserve">The first draft of the solution is proposed in two </w:t>
      </w:r>
      <w:r w:rsidR="00E64BCB">
        <w:rPr>
          <w:bCs/>
        </w:rPr>
        <w:t>TPs</w:t>
      </w:r>
      <w:r w:rsidRPr="00B1229E">
        <w:rPr>
          <w:bCs/>
        </w:rPr>
        <w:t xml:space="preserve"> [</w:t>
      </w:r>
      <w:r w:rsidR="00E64BCB">
        <w:rPr>
          <w:bCs/>
        </w:rPr>
        <w:t>1</w:t>
      </w:r>
      <w:r w:rsidRPr="00B1229E">
        <w:rPr>
          <w:bCs/>
        </w:rPr>
        <w:t>-</w:t>
      </w:r>
      <w:r w:rsidR="00E64BCB">
        <w:rPr>
          <w:bCs/>
        </w:rPr>
        <w:t>2</w:t>
      </w:r>
      <w:r w:rsidRPr="00B1229E">
        <w:rPr>
          <w:bCs/>
        </w:rPr>
        <w:t>].</w:t>
      </w:r>
    </w:p>
    <w:p w14:paraId="483F8717" w14:textId="77777777" w:rsidR="00403B9B" w:rsidRPr="00B1229E" w:rsidRDefault="00403B9B" w:rsidP="00403B9B">
      <w:pPr>
        <w:pStyle w:val="Heading1"/>
      </w:pPr>
      <w:r w:rsidRPr="00B1229E">
        <w:t>References</w:t>
      </w:r>
    </w:p>
    <w:p w14:paraId="5AC2E4D8" w14:textId="4D844958" w:rsidR="000B3979" w:rsidRPr="00B1229E" w:rsidRDefault="000B3979" w:rsidP="008A3464">
      <w:pPr>
        <w:numPr>
          <w:ilvl w:val="0"/>
          <w:numId w:val="4"/>
        </w:numPr>
        <w:overflowPunct w:val="0"/>
        <w:autoSpaceDE w:val="0"/>
        <w:autoSpaceDN w:val="0"/>
        <w:adjustRightInd w:val="0"/>
        <w:textAlignment w:val="baseline"/>
      </w:pPr>
      <w:r w:rsidRPr="00B1229E">
        <w:t>R3-21</w:t>
      </w:r>
      <w:r w:rsidR="00260741">
        <w:t>1567</w:t>
      </w:r>
      <w:r w:rsidRPr="00B1229E">
        <w:t>, RAN3 #11</w:t>
      </w:r>
      <w:r w:rsidR="00E64BCB">
        <w:t>2</w:t>
      </w:r>
    </w:p>
    <w:p w14:paraId="79D3BE56" w14:textId="20934A51" w:rsidR="000B3979" w:rsidRPr="00B1229E" w:rsidRDefault="000B3979" w:rsidP="008A3464">
      <w:pPr>
        <w:numPr>
          <w:ilvl w:val="0"/>
          <w:numId w:val="4"/>
        </w:numPr>
        <w:overflowPunct w:val="0"/>
        <w:autoSpaceDE w:val="0"/>
        <w:autoSpaceDN w:val="0"/>
        <w:adjustRightInd w:val="0"/>
        <w:textAlignment w:val="baseline"/>
      </w:pPr>
      <w:r w:rsidRPr="00B1229E">
        <w:t>R3-21</w:t>
      </w:r>
      <w:r w:rsidR="00260741">
        <w:t>1568</w:t>
      </w:r>
      <w:r w:rsidRPr="00B1229E">
        <w:t>, RAN3 #11</w:t>
      </w:r>
      <w:r w:rsidR="00E64BCB">
        <w:t>2</w:t>
      </w:r>
    </w:p>
    <w:p w14:paraId="01293442" w14:textId="77777777" w:rsidR="0022219E" w:rsidRPr="00B1229E" w:rsidRDefault="0022219E" w:rsidP="0022219E">
      <w:pPr>
        <w:overflowPunct w:val="0"/>
        <w:autoSpaceDE w:val="0"/>
        <w:autoSpaceDN w:val="0"/>
        <w:adjustRightInd w:val="0"/>
        <w:textAlignment w:val="baseline"/>
      </w:pPr>
    </w:p>
    <w:sectPr w:rsidR="0022219E" w:rsidRPr="00B122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7D10A" w14:textId="77777777" w:rsidR="009E68A5" w:rsidRDefault="009E68A5">
      <w:r>
        <w:separator/>
      </w:r>
    </w:p>
  </w:endnote>
  <w:endnote w:type="continuationSeparator" w:id="0">
    <w:p w14:paraId="435B7855" w14:textId="77777777" w:rsidR="009E68A5" w:rsidRDefault="009E68A5">
      <w:r>
        <w:continuationSeparator/>
      </w:r>
    </w:p>
  </w:endnote>
  <w:endnote w:type="continuationNotice" w:id="1">
    <w:p w14:paraId="34969E32" w14:textId="77777777" w:rsidR="009E68A5" w:rsidRDefault="009E68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A0C27" w14:textId="77777777" w:rsidR="009E68A5" w:rsidRDefault="009E68A5">
      <w:r>
        <w:separator/>
      </w:r>
    </w:p>
  </w:footnote>
  <w:footnote w:type="continuationSeparator" w:id="0">
    <w:p w14:paraId="2645EEE9" w14:textId="77777777" w:rsidR="009E68A5" w:rsidRDefault="009E68A5">
      <w:r>
        <w:continuationSeparator/>
      </w:r>
    </w:p>
  </w:footnote>
  <w:footnote w:type="continuationNotice" w:id="1">
    <w:p w14:paraId="523DD812" w14:textId="77777777" w:rsidR="009E68A5" w:rsidRDefault="009E68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2F458F"/>
    <w:multiLevelType w:val="hybridMultilevel"/>
    <w:tmpl w:val="9C12D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6C60D0"/>
    <w:multiLevelType w:val="hybridMultilevel"/>
    <w:tmpl w:val="95881274"/>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840436"/>
    <w:multiLevelType w:val="hybridMultilevel"/>
    <w:tmpl w:val="7C9273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14"/>
  </w:num>
  <w:num w:numId="4">
    <w:abstractNumId w:val="9"/>
  </w:num>
  <w:num w:numId="5">
    <w:abstractNumId w:val="10"/>
  </w:num>
  <w:num w:numId="6">
    <w:abstractNumId w:val="39"/>
  </w:num>
  <w:num w:numId="7">
    <w:abstractNumId w:val="25"/>
  </w:num>
  <w:num w:numId="8">
    <w:abstractNumId w:val="15"/>
  </w:num>
  <w:num w:numId="9">
    <w:abstractNumId w:val="37"/>
  </w:num>
  <w:num w:numId="10">
    <w:abstractNumId w:val="24"/>
  </w:num>
  <w:num w:numId="11">
    <w:abstractNumId w:val="13"/>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7"/>
  </w:num>
  <w:num w:numId="26">
    <w:abstractNumId w:val="16"/>
  </w:num>
  <w:num w:numId="27">
    <w:abstractNumId w:val="21"/>
  </w:num>
  <w:num w:numId="28">
    <w:abstractNumId w:val="35"/>
  </w:num>
  <w:num w:numId="29">
    <w:abstractNumId w:val="36"/>
  </w:num>
  <w:num w:numId="30">
    <w:abstractNumId w:val="26"/>
  </w:num>
  <w:num w:numId="31">
    <w:abstractNumId w:val="23"/>
  </w:num>
  <w:num w:numId="32">
    <w:abstractNumId w:val="17"/>
  </w:num>
  <w:num w:numId="33">
    <w:abstractNumId w:val="28"/>
  </w:num>
  <w:num w:numId="34">
    <w:abstractNumId w:val="12"/>
  </w:num>
  <w:num w:numId="35">
    <w:abstractNumId w:val="11"/>
  </w:num>
  <w:num w:numId="36">
    <w:abstractNumId w:val="34"/>
  </w:num>
  <w:num w:numId="37">
    <w:abstractNumId w:val="22"/>
  </w:num>
  <w:num w:numId="38">
    <w:abstractNumId w:val="19"/>
  </w:num>
  <w:num w:numId="39">
    <w:abstractNumId w:val="38"/>
  </w:num>
  <w:num w:numId="40">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1CC5"/>
    <w:rsid w:val="00012ED2"/>
    <w:rsid w:val="000149CB"/>
    <w:rsid w:val="000158F2"/>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3F1A"/>
    <w:rsid w:val="00054F0E"/>
    <w:rsid w:val="00054F5F"/>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3979"/>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9F2"/>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455"/>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B"/>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6E48"/>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06AEB"/>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2C9"/>
    <w:rsid w:val="002407E5"/>
    <w:rsid w:val="00241375"/>
    <w:rsid w:val="0024197E"/>
    <w:rsid w:val="0024510A"/>
    <w:rsid w:val="0024549E"/>
    <w:rsid w:val="002456E8"/>
    <w:rsid w:val="0024727F"/>
    <w:rsid w:val="00247E55"/>
    <w:rsid w:val="002510CE"/>
    <w:rsid w:val="00252E47"/>
    <w:rsid w:val="0025393D"/>
    <w:rsid w:val="00254371"/>
    <w:rsid w:val="00254EBB"/>
    <w:rsid w:val="0025778B"/>
    <w:rsid w:val="00260741"/>
    <w:rsid w:val="00262D37"/>
    <w:rsid w:val="00264132"/>
    <w:rsid w:val="00265F20"/>
    <w:rsid w:val="00267F60"/>
    <w:rsid w:val="002747EC"/>
    <w:rsid w:val="00274D2E"/>
    <w:rsid w:val="00280D7B"/>
    <w:rsid w:val="0028199F"/>
    <w:rsid w:val="002845EF"/>
    <w:rsid w:val="002855BF"/>
    <w:rsid w:val="00286494"/>
    <w:rsid w:val="002864B2"/>
    <w:rsid w:val="00287545"/>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5CF0"/>
    <w:rsid w:val="003164FF"/>
    <w:rsid w:val="003172DC"/>
    <w:rsid w:val="0032093A"/>
    <w:rsid w:val="00323358"/>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1CE4"/>
    <w:rsid w:val="003724A7"/>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007F"/>
    <w:rsid w:val="003E047D"/>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571B"/>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29B0"/>
    <w:rsid w:val="004745E6"/>
    <w:rsid w:val="00477373"/>
    <w:rsid w:val="00480550"/>
    <w:rsid w:val="00483AFF"/>
    <w:rsid w:val="00484DBF"/>
    <w:rsid w:val="00484ED5"/>
    <w:rsid w:val="004862A9"/>
    <w:rsid w:val="00486CD7"/>
    <w:rsid w:val="00490813"/>
    <w:rsid w:val="00490E2A"/>
    <w:rsid w:val="00493F5A"/>
    <w:rsid w:val="00494C2D"/>
    <w:rsid w:val="00495283"/>
    <w:rsid w:val="00495410"/>
    <w:rsid w:val="004964A5"/>
    <w:rsid w:val="004979B3"/>
    <w:rsid w:val="004A0703"/>
    <w:rsid w:val="004A10EC"/>
    <w:rsid w:val="004A48AA"/>
    <w:rsid w:val="004A4E5D"/>
    <w:rsid w:val="004A4F0F"/>
    <w:rsid w:val="004A5056"/>
    <w:rsid w:val="004A5614"/>
    <w:rsid w:val="004A5F6B"/>
    <w:rsid w:val="004A6C2C"/>
    <w:rsid w:val="004A6DA1"/>
    <w:rsid w:val="004B23B9"/>
    <w:rsid w:val="004B4758"/>
    <w:rsid w:val="004B7849"/>
    <w:rsid w:val="004C189B"/>
    <w:rsid w:val="004C206C"/>
    <w:rsid w:val="004C3944"/>
    <w:rsid w:val="004C4E76"/>
    <w:rsid w:val="004C56B5"/>
    <w:rsid w:val="004C654E"/>
    <w:rsid w:val="004C7AE9"/>
    <w:rsid w:val="004D1647"/>
    <w:rsid w:val="004D3578"/>
    <w:rsid w:val="004D380D"/>
    <w:rsid w:val="004D4144"/>
    <w:rsid w:val="004D46EC"/>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5BF8"/>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59FD"/>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26FF2"/>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1E17"/>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1CE6"/>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683"/>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77368"/>
    <w:rsid w:val="00781F0F"/>
    <w:rsid w:val="00783DFD"/>
    <w:rsid w:val="007868FC"/>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66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B3C"/>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ABA"/>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76F97"/>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D7DEA"/>
    <w:rsid w:val="009E3740"/>
    <w:rsid w:val="009E3E1E"/>
    <w:rsid w:val="009E48B1"/>
    <w:rsid w:val="009E68A5"/>
    <w:rsid w:val="009F056C"/>
    <w:rsid w:val="009F17BF"/>
    <w:rsid w:val="009F4335"/>
    <w:rsid w:val="009F482E"/>
    <w:rsid w:val="009F5C35"/>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17C16"/>
    <w:rsid w:val="00A2233C"/>
    <w:rsid w:val="00A23159"/>
    <w:rsid w:val="00A23987"/>
    <w:rsid w:val="00A2408B"/>
    <w:rsid w:val="00A2448E"/>
    <w:rsid w:val="00A245F3"/>
    <w:rsid w:val="00A26B6E"/>
    <w:rsid w:val="00A26C86"/>
    <w:rsid w:val="00A273AA"/>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9DB"/>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0"/>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7E5"/>
    <w:rsid w:val="00AC2C87"/>
    <w:rsid w:val="00AC30E3"/>
    <w:rsid w:val="00AC39D1"/>
    <w:rsid w:val="00AC4E7E"/>
    <w:rsid w:val="00AD4FD5"/>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229E"/>
    <w:rsid w:val="00B15449"/>
    <w:rsid w:val="00B1667F"/>
    <w:rsid w:val="00B1723E"/>
    <w:rsid w:val="00B208E8"/>
    <w:rsid w:val="00B2235D"/>
    <w:rsid w:val="00B25551"/>
    <w:rsid w:val="00B25E3B"/>
    <w:rsid w:val="00B30390"/>
    <w:rsid w:val="00B31AA3"/>
    <w:rsid w:val="00B32436"/>
    <w:rsid w:val="00B34185"/>
    <w:rsid w:val="00B34FA0"/>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3B48"/>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D98"/>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3A54"/>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0EBA"/>
    <w:rsid w:val="00CD11AE"/>
    <w:rsid w:val="00CD2620"/>
    <w:rsid w:val="00CD372F"/>
    <w:rsid w:val="00CD4C7B"/>
    <w:rsid w:val="00CD6C7B"/>
    <w:rsid w:val="00CE07A8"/>
    <w:rsid w:val="00CE1F72"/>
    <w:rsid w:val="00CE2062"/>
    <w:rsid w:val="00CE270D"/>
    <w:rsid w:val="00CE3251"/>
    <w:rsid w:val="00CE3415"/>
    <w:rsid w:val="00CF06A1"/>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04A"/>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08"/>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4BCB"/>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608C"/>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40B"/>
    <w:rsid w:val="00F374E8"/>
    <w:rsid w:val="00F37743"/>
    <w:rsid w:val="00F402FC"/>
    <w:rsid w:val="00F4160A"/>
    <w:rsid w:val="00F418AD"/>
    <w:rsid w:val="00F41BFB"/>
    <w:rsid w:val="00F41D6C"/>
    <w:rsid w:val="00F422BE"/>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97FAC"/>
    <w:rsid w:val="00FA0BC3"/>
    <w:rsid w:val="00FA1266"/>
    <w:rsid w:val="00FA17D9"/>
    <w:rsid w:val="00FA1E98"/>
    <w:rsid w:val="00FA4A45"/>
    <w:rsid w:val="00FA755C"/>
    <w:rsid w:val="00FB1B54"/>
    <w:rsid w:val="00FB29E1"/>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FF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D61F77CE-075F-47C1-A6E5-3C57FE15310F}">
  <ds:schemaRefs>
    <ds:schemaRef ds:uri="http://schemas.openxmlformats.org/officeDocument/2006/bibliography"/>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5736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details of the inter-SN CPC</dc:title>
  <dc:subject>3GPP RAN3 #112-e</dc:subject>
  <dc:creator>Benoist Sébire</dc:creator>
  <cp:keywords>&lt;keyword[, keyword, ]&gt;</cp:keywords>
  <dc:description/>
  <cp:lastModifiedBy>Nokia</cp:lastModifiedBy>
  <cp:revision>26</cp:revision>
  <cp:lastPrinted>2019-03-27T07:16:00Z</cp:lastPrinted>
  <dcterms:created xsi:type="dcterms:W3CDTF">2021-04-30T10:47:00Z</dcterms:created>
  <dcterms:modified xsi:type="dcterms:W3CDTF">2021-05-06T13:17:00Z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